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STORE CLERK</w:t>
            </w: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Store Clerk is responsible for providing exceptional customer service, processing sales transactions, and maintaining a clean and organized store environment. This role may also include tasks related to product cleaning and basic repair, depending on the industry. The Store Clerk will assist customers with their purchases, answer inquiries, and ensure an efficient and pleasant shopping experience.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requires attention to detail and a high level of accuracy. The successful candidate will be proactive in keeping the store well-maintained and will demonstrate a commitment to customer satisfaction and effective problem-solving.</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Greet customers and assist with purchases.</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Process payments using the point-of-sale system, ensuring accuracy in prices and quantities.</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the cleanliness and organization of store displays and checkout areas.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basic cleaning and repair of products relevant to the store’s focus (e.g., electronics, clothing, tools).</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Troubleshoot minor issues related to products and escalate complex problems to specialized staff or service partners.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stock levels and restock shelves as necessary.</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Balance cash drawer and reconcile transactions at the end of each shift.</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Answer customer inquiries regarding product features, promotions, and item locations.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with inventory management, including periodic stock checks and reporting.</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additional tasks as assigned by the supervisor.</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C">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in a customer service or retail environment.</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with electronics, such as basic repairs or troubleshooting, is preferred.</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cash registers and point-of-sale systems is an asset.</w:t>
      </w:r>
      <w:r w:rsidDel="00000000" w:rsidR="00000000" w:rsidRPr="00000000">
        <w:rPr>
          <w:rFonts w:ascii="Calibri" w:cs="Calibri" w:eastAsia="Calibri" w:hAnsi="Calibri"/>
          <w:rtl w:val="0"/>
        </w:rPr>
        <w:br w:type="textWrapping"/>
      </w:r>
    </w:p>
    <w:p w:rsidR="00000000" w:rsidDel="00000000" w:rsidP="00000000" w:rsidRDefault="00000000" w:rsidRPr="00000000" w14:paraId="00000022">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23">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customer service skills and a friendly, helpful demeanor.</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knowledge of electronics and minor repair techniques.</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skills.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Organizational skills with attention to detail.</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multi-task in a fast-paced environment.</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 service oriented. </w:t>
      </w:r>
      <w:r w:rsidDel="00000000" w:rsidR="00000000" w:rsidRPr="00000000">
        <w:rPr>
          <w:rtl w:val="0"/>
        </w:rPr>
      </w:r>
    </w:p>
    <w:p w:rsidR="00000000" w:rsidDel="00000000" w:rsidP="00000000" w:rsidRDefault="00000000" w:rsidRPr="00000000" w14:paraId="0000002A">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B">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D">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2E">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Tasks may involve standing and walking for long periods, and lifting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rFonts w:ascii="Calibri" w:cs="Calibri" w:eastAsia="Calibri" w:hAnsi="Calibri"/>
        <w:highlight w:val="white"/>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